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64AA5" w14:textId="77777777" w:rsidR="007A39AD" w:rsidRDefault="007A39AD"/>
    <w:p w14:paraId="5132C423" w14:textId="3BFF0ACE" w:rsidR="007A39AD" w:rsidRPr="007A39AD" w:rsidRDefault="007A39AD" w:rsidP="007A39AD">
      <w:pPr>
        <w:spacing w:after="0" w:line="240" w:lineRule="auto"/>
        <w:contextualSpacing/>
        <w:rPr>
          <w:rFonts w:ascii="Aptos Black" w:eastAsia="DengXian Light" w:hAnsi="Aptos Black" w:cs="Calibri"/>
          <w:b/>
          <w:bCs/>
          <w:color w:val="002268"/>
          <w:spacing w:val="-10"/>
          <w:kern w:val="28"/>
          <w:sz w:val="32"/>
          <w:szCs w:val="32"/>
          <w:lang w:val="en-US"/>
          <w14:ligatures w14:val="none"/>
        </w:rPr>
      </w:pPr>
      <w:r w:rsidRPr="007A39AD">
        <w:rPr>
          <w:rFonts w:ascii="Aptos Black" w:eastAsia="DengXian Light" w:hAnsi="Aptos Black" w:cs="Calibri"/>
          <w:b/>
          <w:bCs/>
          <w:color w:val="002268"/>
          <w:spacing w:val="-10"/>
          <w:kern w:val="28"/>
          <w:sz w:val="32"/>
          <w:szCs w:val="32"/>
          <w:lang w:val="en-US"/>
          <w14:ligatures w14:val="none"/>
        </w:rPr>
        <w:t xml:space="preserve">COMMUNIQUE                                                                          </w:t>
      </w:r>
      <w:r>
        <w:rPr>
          <w:rFonts w:ascii="Aptos Black" w:eastAsia="DengXian Light" w:hAnsi="Aptos Black" w:cs="Calibri"/>
          <w:b/>
          <w:bCs/>
          <w:color w:val="002268"/>
          <w:spacing w:val="-10"/>
          <w:kern w:val="28"/>
          <w:sz w:val="32"/>
          <w:szCs w:val="32"/>
          <w:lang w:val="en-US"/>
          <w14:ligatures w14:val="none"/>
        </w:rPr>
        <w:t>October</w:t>
      </w:r>
      <w:r w:rsidRPr="007A39AD">
        <w:rPr>
          <w:rFonts w:ascii="Aptos Black" w:eastAsia="DengXian Light" w:hAnsi="Aptos Black" w:cs="Calibri"/>
          <w:b/>
          <w:bCs/>
          <w:color w:val="002268"/>
          <w:spacing w:val="-10"/>
          <w:kern w:val="28"/>
          <w:sz w:val="32"/>
          <w:szCs w:val="32"/>
          <w:lang w:val="en-US"/>
          <w14:ligatures w14:val="none"/>
        </w:rPr>
        <w:t xml:space="preserve"> 2025</w:t>
      </w:r>
    </w:p>
    <w:p w14:paraId="239B65F5" w14:textId="77777777" w:rsidR="007A39AD" w:rsidRPr="007A39AD" w:rsidRDefault="007A39AD" w:rsidP="007A39AD">
      <w:pPr>
        <w:spacing w:line="259" w:lineRule="auto"/>
        <w:rPr>
          <w:rFonts w:ascii="Calibri" w:eastAsia="Calibri" w:hAnsi="Calibri" w:cs="Cordia New"/>
          <w:sz w:val="22"/>
          <w:szCs w:val="22"/>
          <w14:ligatures w14:val="none"/>
        </w:rPr>
      </w:pPr>
    </w:p>
    <w:p w14:paraId="1BA3296B" w14:textId="38664033" w:rsidR="007A39AD" w:rsidRPr="007A39AD" w:rsidRDefault="0047727B" w:rsidP="007A39AD">
      <w:pPr>
        <w:spacing w:after="0" w:line="259" w:lineRule="auto"/>
        <w:rPr>
          <w:rFonts w:ascii="Aptos Black" w:eastAsia="Calibri" w:hAnsi="Aptos Black" w:cs="Calibri"/>
          <w:color w:val="002268"/>
          <w:sz w:val="32"/>
          <w:szCs w:val="32"/>
          <w14:ligatures w14:val="none"/>
        </w:rPr>
      </w:pPr>
      <w:r>
        <w:rPr>
          <w:rFonts w:ascii="Aptos Black" w:eastAsia="Calibri" w:hAnsi="Aptos Black" w:cs="Calibri"/>
          <w:color w:val="002268"/>
          <w:sz w:val="32"/>
          <w:szCs w:val="32"/>
          <w14:ligatures w14:val="none"/>
        </w:rPr>
        <w:t xml:space="preserve">PGY2 </w:t>
      </w:r>
      <w:r w:rsidR="007A39AD" w:rsidRPr="007A39AD">
        <w:rPr>
          <w:rFonts w:ascii="Aptos Black" w:eastAsia="Calibri" w:hAnsi="Aptos Black" w:cs="Calibri"/>
          <w:color w:val="002268"/>
          <w:sz w:val="32"/>
          <w:szCs w:val="32"/>
          <w14:ligatures w14:val="none"/>
        </w:rPr>
        <w:t>AMC Certificate of Completion</w:t>
      </w:r>
    </w:p>
    <w:p w14:paraId="7B1CDF1C" w14:textId="7FEFD1C8" w:rsidR="007A39AD" w:rsidRPr="007A39AD" w:rsidRDefault="007A39AD" w:rsidP="007A39AD">
      <w:pPr>
        <w:spacing w:before="240" w:after="240" w:line="259" w:lineRule="auto"/>
        <w:jc w:val="both"/>
        <w:rPr>
          <w:rFonts w:ascii="Aptos" w:eastAsia="Aptos" w:hAnsi="Aptos" w:cs="Aptos"/>
          <w:sz w:val="22"/>
          <w:szCs w:val="22"/>
          <w14:ligatures w14:val="none"/>
        </w:rPr>
      </w:pPr>
      <w:r w:rsidRPr="007A39AD">
        <w:rPr>
          <w:rFonts w:ascii="Aptos" w:eastAsia="Aptos" w:hAnsi="Aptos" w:cs="Aptos"/>
          <w:sz w:val="22"/>
          <w:szCs w:val="22"/>
          <w14:ligatures w14:val="none"/>
        </w:rPr>
        <w:t xml:space="preserve">The requirements to receive this certificate have been outlined by the AMC in their National Framework for Prevocational Medical Training </w:t>
      </w:r>
      <w:hyperlink r:id="rId5" w:history="1">
        <w:r w:rsidRPr="007A39AD">
          <w:rPr>
            <w:rStyle w:val="Hyperlink"/>
            <w:rFonts w:ascii="Aptos" w:eastAsia="Aptos" w:hAnsi="Aptos" w:cs="Aptos"/>
            <w:sz w:val="22"/>
            <w:szCs w:val="22"/>
            <w14:ligatures w14:val="none"/>
          </w:rPr>
          <w:t>(National Framework)</w:t>
        </w:r>
      </w:hyperlink>
      <w:r w:rsidR="00FC1A7A">
        <w:rPr>
          <w:rFonts w:ascii="Aptos" w:eastAsia="Aptos" w:hAnsi="Aptos" w:cs="Aptos"/>
          <w:sz w:val="22"/>
          <w:szCs w:val="22"/>
          <w14:ligatures w14:val="none"/>
        </w:rPr>
        <w:t>.</w:t>
      </w:r>
    </w:p>
    <w:p w14:paraId="5648B5E6" w14:textId="60EA7C76" w:rsidR="007A39AD" w:rsidRPr="007A39AD" w:rsidRDefault="007A39AD" w:rsidP="007A39AD">
      <w:pPr>
        <w:spacing w:line="259" w:lineRule="auto"/>
        <w:rPr>
          <w:rFonts w:ascii="Aptos" w:eastAsia="Calibri" w:hAnsi="Aptos" w:cs="Cordia New"/>
          <w:color w:val="000000"/>
          <w:sz w:val="22"/>
          <w:szCs w:val="22"/>
          <w14:ligatures w14:val="none"/>
        </w:rPr>
      </w:pPr>
      <w:r w:rsidRPr="007A39AD">
        <w:rPr>
          <w:rFonts w:ascii="Aptos" w:eastAsia="Calibri" w:hAnsi="Aptos" w:cs="Cordia New"/>
          <w:color w:val="000000"/>
          <w:sz w:val="22"/>
          <w:szCs w:val="22"/>
          <w14:ligatures w14:val="none"/>
        </w:rPr>
        <w:t xml:space="preserve">The following criteria must be satisfied by trainees to be eligible for the AMC Certificate of Completion. </w:t>
      </w:r>
    </w:p>
    <w:p w14:paraId="3E771637" w14:textId="77777777" w:rsidR="007A39AD" w:rsidRPr="007A39AD" w:rsidRDefault="007A39AD" w:rsidP="007A39AD">
      <w:pPr>
        <w:numPr>
          <w:ilvl w:val="0"/>
          <w:numId w:val="2"/>
        </w:numPr>
        <w:spacing w:line="259" w:lineRule="auto"/>
        <w:contextualSpacing/>
        <w:jc w:val="both"/>
        <w:rPr>
          <w:rFonts w:ascii="Aptos" w:eastAsia="Aptos" w:hAnsi="Aptos" w:cs="Aptos"/>
          <w:kern w:val="0"/>
          <w:sz w:val="22"/>
          <w:szCs w:val="22"/>
          <w:lang w:val="en-US"/>
          <w14:ligatures w14:val="none"/>
        </w:rPr>
      </w:pPr>
      <w:r w:rsidRPr="007A39AD">
        <w:rPr>
          <w:rFonts w:ascii="Aptos" w:eastAsia="Aptos" w:hAnsi="Aptos" w:cs="Aptos"/>
          <w:kern w:val="0"/>
          <w:sz w:val="22"/>
          <w:szCs w:val="22"/>
          <w:lang w:val="en-US"/>
          <w14:ligatures w14:val="none"/>
        </w:rPr>
        <w:t>Exposure to Clinical Experience A (undifferentiated illness), B (chronic illness) and C (acute and critical illness)</w:t>
      </w:r>
    </w:p>
    <w:p w14:paraId="799C17C4" w14:textId="77777777" w:rsidR="007A39AD" w:rsidRPr="007A39AD" w:rsidRDefault="007A39AD" w:rsidP="007A39AD">
      <w:pPr>
        <w:numPr>
          <w:ilvl w:val="0"/>
          <w:numId w:val="2"/>
        </w:numPr>
        <w:spacing w:line="259" w:lineRule="auto"/>
        <w:contextualSpacing/>
        <w:jc w:val="both"/>
        <w:rPr>
          <w:rFonts w:ascii="Aptos" w:eastAsia="Aptos" w:hAnsi="Aptos" w:cs="Aptos"/>
          <w:kern w:val="0"/>
          <w:sz w:val="22"/>
          <w:szCs w:val="22"/>
          <w:lang w:val="en-US"/>
          <w14:ligatures w14:val="none"/>
        </w:rPr>
      </w:pPr>
      <w:r w:rsidRPr="007A39AD">
        <w:rPr>
          <w:rFonts w:ascii="Aptos" w:eastAsia="Aptos" w:hAnsi="Aptos" w:cs="Aptos"/>
          <w:kern w:val="0"/>
          <w:sz w:val="22"/>
          <w:szCs w:val="22"/>
          <w:lang w:val="en-US"/>
          <w14:ligatures w14:val="none"/>
        </w:rPr>
        <w:t>Completion of all relevant components of the National Framework:</w:t>
      </w:r>
    </w:p>
    <w:p w14:paraId="7448A798" w14:textId="77777777" w:rsidR="007A39AD" w:rsidRPr="007A39AD" w:rsidRDefault="007A39AD" w:rsidP="007A39AD">
      <w:pPr>
        <w:numPr>
          <w:ilvl w:val="1"/>
          <w:numId w:val="2"/>
        </w:numPr>
        <w:spacing w:line="259" w:lineRule="auto"/>
        <w:contextualSpacing/>
        <w:jc w:val="both"/>
        <w:rPr>
          <w:rFonts w:ascii="Aptos" w:eastAsia="Aptos" w:hAnsi="Aptos" w:cs="Aptos"/>
          <w:kern w:val="0"/>
          <w:sz w:val="22"/>
          <w:szCs w:val="22"/>
          <w:lang w:val="en-US"/>
          <w14:ligatures w14:val="none"/>
        </w:rPr>
      </w:pPr>
      <w:r w:rsidRPr="007A39AD">
        <w:rPr>
          <w:rFonts w:ascii="Aptos" w:eastAsia="Aptos" w:hAnsi="Aptos" w:cs="Aptos"/>
          <w:kern w:val="0"/>
          <w:sz w:val="22"/>
          <w:szCs w:val="22"/>
          <w:lang w:val="en-US"/>
          <w14:ligatures w14:val="none"/>
        </w:rPr>
        <w:t xml:space="preserve">NFPMT Mid Term and End of Term assessments </w:t>
      </w:r>
    </w:p>
    <w:p w14:paraId="225279EB" w14:textId="77777777" w:rsidR="007A39AD" w:rsidRPr="007A39AD" w:rsidRDefault="007A39AD" w:rsidP="007A39AD">
      <w:pPr>
        <w:numPr>
          <w:ilvl w:val="1"/>
          <w:numId w:val="2"/>
        </w:numPr>
        <w:spacing w:line="259" w:lineRule="auto"/>
        <w:contextualSpacing/>
        <w:jc w:val="both"/>
        <w:rPr>
          <w:rFonts w:ascii="Aptos" w:eastAsia="Aptos" w:hAnsi="Aptos" w:cs="Aptos"/>
          <w:kern w:val="0"/>
          <w:sz w:val="22"/>
          <w:szCs w:val="22"/>
          <w:lang w:val="en-US"/>
          <w14:ligatures w14:val="none"/>
        </w:rPr>
      </w:pPr>
      <w:r w:rsidRPr="007A39AD">
        <w:rPr>
          <w:rFonts w:ascii="Aptos" w:eastAsia="Aptos" w:hAnsi="Aptos" w:cs="Aptos"/>
          <w:kern w:val="0"/>
          <w:sz w:val="22"/>
          <w:szCs w:val="22"/>
          <w:lang w:val="en-US"/>
          <w14:ligatures w14:val="none"/>
        </w:rPr>
        <w:t>Entrustable Professional Activities (from 2026)</w:t>
      </w:r>
    </w:p>
    <w:p w14:paraId="511BDE0C" w14:textId="77777777" w:rsidR="007A39AD" w:rsidRPr="007A39AD" w:rsidRDefault="007A39AD" w:rsidP="007A39AD">
      <w:pPr>
        <w:numPr>
          <w:ilvl w:val="0"/>
          <w:numId w:val="2"/>
        </w:numPr>
        <w:spacing w:line="259" w:lineRule="auto"/>
        <w:contextualSpacing/>
        <w:jc w:val="both"/>
        <w:rPr>
          <w:rFonts w:ascii="Aptos" w:eastAsia="Aptos" w:hAnsi="Aptos" w:cs="Aptos"/>
          <w:kern w:val="0"/>
          <w:sz w:val="22"/>
          <w:szCs w:val="22"/>
          <w:lang w:val="en-US"/>
          <w14:ligatures w14:val="none"/>
        </w:rPr>
      </w:pPr>
      <w:r w:rsidRPr="007A39AD">
        <w:rPr>
          <w:rFonts w:ascii="Aptos" w:eastAsia="Aptos" w:hAnsi="Aptos" w:cs="Aptos"/>
          <w:kern w:val="0"/>
          <w:sz w:val="22"/>
          <w:szCs w:val="22"/>
          <w:lang w:val="en-US"/>
          <w14:ligatures w14:val="none"/>
        </w:rPr>
        <w:t>The Prevocational Assessment Review Panel makes progression decisions</w:t>
      </w:r>
    </w:p>
    <w:p w14:paraId="35225C9C" w14:textId="77777777" w:rsidR="007A39AD" w:rsidRPr="007A39AD" w:rsidRDefault="007A39AD" w:rsidP="007A39AD">
      <w:pPr>
        <w:numPr>
          <w:ilvl w:val="0"/>
          <w:numId w:val="2"/>
        </w:numPr>
        <w:spacing w:line="259" w:lineRule="auto"/>
        <w:contextualSpacing/>
        <w:jc w:val="both"/>
        <w:rPr>
          <w:rFonts w:ascii="Aptos" w:eastAsia="Aptos" w:hAnsi="Aptos" w:cs="Aptos"/>
          <w:kern w:val="0"/>
          <w:sz w:val="22"/>
          <w:szCs w:val="22"/>
          <w:lang w:val="en-US"/>
          <w14:ligatures w14:val="none"/>
        </w:rPr>
      </w:pPr>
      <w:r w:rsidRPr="007A39AD">
        <w:rPr>
          <w:rFonts w:ascii="Aptos" w:eastAsia="Aptos" w:hAnsi="Aptos" w:cs="Aptos"/>
          <w:kern w:val="0"/>
          <w:sz w:val="22"/>
          <w:szCs w:val="22"/>
          <w:lang w:val="en-US"/>
          <w14:ligatures w14:val="none"/>
        </w:rPr>
        <w:t>At least 47 weeks in the program (inclusive of up to 10 days of leave)</w:t>
      </w:r>
    </w:p>
    <w:p w14:paraId="6C432A27" w14:textId="3B02EB7A" w:rsidR="00FC1A7A" w:rsidRPr="00FC1A7A" w:rsidRDefault="007A39AD" w:rsidP="0047727B">
      <w:pPr>
        <w:numPr>
          <w:ilvl w:val="0"/>
          <w:numId w:val="2"/>
        </w:numPr>
        <w:spacing w:line="259" w:lineRule="auto"/>
        <w:ind w:left="714" w:hanging="357"/>
        <w:jc w:val="both"/>
        <w:rPr>
          <w:rFonts w:ascii="Aptos" w:eastAsia="Aptos" w:hAnsi="Aptos" w:cs="Aptos"/>
          <w:kern w:val="0"/>
          <w:sz w:val="22"/>
          <w:szCs w:val="22"/>
          <w:lang w:val="en-US"/>
          <w14:ligatures w14:val="none"/>
        </w:rPr>
      </w:pPr>
      <w:r w:rsidRPr="007A39AD">
        <w:rPr>
          <w:rFonts w:ascii="Aptos" w:eastAsia="Aptos" w:hAnsi="Aptos" w:cs="Aptos"/>
          <w:kern w:val="0"/>
          <w:sz w:val="22"/>
          <w:szCs w:val="22"/>
          <w:lang w:val="en-US"/>
          <w14:ligatures w14:val="none"/>
        </w:rPr>
        <w:t>No more than 25% of the year has been spent in one subspecialty</w:t>
      </w:r>
    </w:p>
    <w:p w14:paraId="164260BD" w14:textId="77777777" w:rsidR="004C2B1D" w:rsidRDefault="0047727B" w:rsidP="0047727B">
      <w:pPr>
        <w:spacing w:after="120" w:line="259" w:lineRule="auto"/>
        <w:jc w:val="both"/>
        <w:rPr>
          <w:rFonts w:ascii="Aptos" w:eastAsia="Aptos" w:hAnsi="Aptos" w:cs="Aptos"/>
          <w:sz w:val="22"/>
          <w:szCs w:val="22"/>
          <w14:ligatures w14:val="none"/>
        </w:rPr>
      </w:pPr>
      <w:r>
        <w:rPr>
          <w:rFonts w:ascii="Aptos" w:eastAsia="Aptos" w:hAnsi="Aptos" w:cs="Aptos"/>
          <w:sz w:val="22"/>
          <w:szCs w:val="22"/>
          <w14:ligatures w14:val="none"/>
        </w:rPr>
        <w:t xml:space="preserve">From the commencement of the 2025 clinical year, </w:t>
      </w:r>
      <w:r w:rsidR="00FC1A7A" w:rsidRPr="00FC1A7A">
        <w:rPr>
          <w:rFonts w:ascii="Aptos" w:eastAsia="Aptos" w:hAnsi="Aptos" w:cs="Aptos"/>
          <w:sz w:val="22"/>
          <w:szCs w:val="22"/>
          <w14:ligatures w14:val="none"/>
        </w:rPr>
        <w:t>PGY2</w:t>
      </w:r>
      <w:r w:rsidR="00FC1A7A">
        <w:rPr>
          <w:rFonts w:ascii="Aptos" w:eastAsia="Aptos" w:hAnsi="Aptos" w:cs="Aptos"/>
          <w:sz w:val="22"/>
          <w:szCs w:val="22"/>
          <w14:ligatures w14:val="none"/>
        </w:rPr>
        <w:t xml:space="preserve"> doctors</w:t>
      </w:r>
      <w:r w:rsidRPr="0047727B">
        <w:rPr>
          <w:rFonts w:ascii="Aptos" w:eastAsia="Aptos" w:hAnsi="Aptos" w:cs="Aptos"/>
          <w:sz w:val="22"/>
          <w:szCs w:val="22"/>
          <w14:ligatures w14:val="none"/>
        </w:rPr>
        <w:t xml:space="preserve"> </w:t>
      </w:r>
      <w:r>
        <w:rPr>
          <w:rFonts w:ascii="Aptos" w:eastAsia="Aptos" w:hAnsi="Aptos" w:cs="Aptos"/>
          <w:sz w:val="22"/>
          <w:szCs w:val="22"/>
          <w14:ligatures w14:val="none"/>
        </w:rPr>
        <w:t>i</w:t>
      </w:r>
      <w:r w:rsidRPr="0047727B">
        <w:rPr>
          <w:rFonts w:ascii="Aptos" w:eastAsia="Aptos" w:hAnsi="Aptos" w:cs="Aptos"/>
          <w:sz w:val="22"/>
          <w:szCs w:val="22"/>
          <w14:ligatures w14:val="none"/>
        </w:rPr>
        <w:t>n the Northern Territory</w:t>
      </w:r>
      <w:r w:rsidR="00FC1A7A">
        <w:rPr>
          <w:rFonts w:ascii="Aptos" w:eastAsia="Aptos" w:hAnsi="Aptos" w:cs="Aptos"/>
          <w:sz w:val="22"/>
          <w:szCs w:val="22"/>
          <w14:ligatures w14:val="none"/>
        </w:rPr>
        <w:t xml:space="preserve"> can enter Specialist Training</w:t>
      </w:r>
      <w:r w:rsidR="00FC1A7A" w:rsidRPr="00FC1A7A">
        <w:rPr>
          <w:rFonts w:ascii="Aptos" w:eastAsia="Aptos" w:hAnsi="Aptos" w:cs="Aptos"/>
          <w:sz w:val="22"/>
          <w:szCs w:val="22"/>
          <w14:ligatures w14:val="none"/>
        </w:rPr>
        <w:t xml:space="preserve"> but they are still required to simultaneously complete their training in prevocational medical training accredited clinical </w:t>
      </w:r>
      <w:r w:rsidR="00FC1A7A">
        <w:rPr>
          <w:rFonts w:ascii="Aptos" w:eastAsia="Aptos" w:hAnsi="Aptos" w:cs="Aptos"/>
          <w:sz w:val="22"/>
          <w:szCs w:val="22"/>
          <w14:ligatures w14:val="none"/>
        </w:rPr>
        <w:t>placements</w:t>
      </w:r>
      <w:r>
        <w:rPr>
          <w:rFonts w:ascii="Aptos" w:eastAsia="Aptos" w:hAnsi="Aptos" w:cs="Aptos"/>
          <w:sz w:val="22"/>
          <w:szCs w:val="22"/>
          <w14:ligatures w14:val="none"/>
        </w:rPr>
        <w:t>. This will ensure requirements to receive the AMC Certificate of Completion are met.</w:t>
      </w:r>
    </w:p>
    <w:p w14:paraId="70B737C5" w14:textId="27586B66" w:rsidR="00FC1A7A" w:rsidRPr="00FC1A7A" w:rsidRDefault="00FC1A7A" w:rsidP="004C2B1D">
      <w:pPr>
        <w:spacing w:after="120" w:line="259" w:lineRule="auto"/>
        <w:jc w:val="both"/>
        <w:rPr>
          <w:rFonts w:ascii="Aptos" w:eastAsia="Aptos" w:hAnsi="Aptos" w:cs="Aptos"/>
          <w:sz w:val="22"/>
          <w:szCs w:val="22"/>
          <w14:ligatures w14:val="none"/>
        </w:rPr>
      </w:pPr>
      <w:r w:rsidRPr="00FC1A7A">
        <w:rPr>
          <w:rFonts w:ascii="Aptos" w:eastAsia="Aptos" w:hAnsi="Aptos" w:cs="Aptos"/>
          <w:sz w:val="22"/>
          <w:szCs w:val="22"/>
          <w14:ligatures w14:val="none"/>
        </w:rPr>
        <w:t xml:space="preserve">The requirements for the vocational training programme would be in addition to </w:t>
      </w:r>
      <w:r>
        <w:rPr>
          <w:rFonts w:ascii="Aptos" w:eastAsia="Aptos" w:hAnsi="Aptos" w:cs="Aptos"/>
          <w:sz w:val="22"/>
          <w:szCs w:val="22"/>
          <w14:ligatures w14:val="none"/>
        </w:rPr>
        <w:t xml:space="preserve">the National Framework </w:t>
      </w:r>
      <w:r w:rsidRPr="00FC1A7A">
        <w:rPr>
          <w:rFonts w:ascii="Aptos" w:eastAsia="Aptos" w:hAnsi="Aptos" w:cs="Aptos"/>
          <w:sz w:val="22"/>
          <w:szCs w:val="22"/>
          <w14:ligatures w14:val="none"/>
        </w:rPr>
        <w:t>requirements.</w:t>
      </w:r>
      <w:r w:rsidR="004C2B1D">
        <w:rPr>
          <w:rFonts w:ascii="Aptos" w:eastAsia="Aptos" w:hAnsi="Aptos" w:cs="Aptos"/>
          <w:sz w:val="22"/>
          <w:szCs w:val="22"/>
          <w14:ligatures w14:val="none"/>
        </w:rPr>
        <w:t xml:space="preserve"> </w:t>
      </w:r>
      <w:r w:rsidRPr="007A39AD">
        <w:rPr>
          <w:rFonts w:ascii="Aptos" w:eastAsia="Aptos" w:hAnsi="Aptos" w:cs="Aptos"/>
          <w:sz w:val="22"/>
          <w:szCs w:val="22"/>
          <w14:ligatures w14:val="none"/>
        </w:rPr>
        <w:t xml:space="preserve">It is the responsibility of the </w:t>
      </w:r>
      <w:r w:rsidRPr="007A39AD">
        <w:rPr>
          <w:rFonts w:ascii="Aptos" w:eastAsia="Aptos" w:hAnsi="Aptos" w:cs="Aptos"/>
          <w:b/>
          <w:bCs/>
          <w:sz w:val="22"/>
          <w:szCs w:val="22"/>
          <w14:ligatures w14:val="none"/>
        </w:rPr>
        <w:t>prevocational doctor</w:t>
      </w:r>
      <w:r w:rsidRPr="007A39AD">
        <w:rPr>
          <w:rFonts w:ascii="Aptos" w:eastAsia="Aptos" w:hAnsi="Aptos" w:cs="Aptos"/>
          <w:sz w:val="22"/>
          <w:szCs w:val="22"/>
          <w14:ligatures w14:val="none"/>
        </w:rPr>
        <w:t xml:space="preserve"> to ensure </w:t>
      </w:r>
      <w:r w:rsidRPr="00FC1A7A">
        <w:rPr>
          <w:rFonts w:ascii="Aptos" w:eastAsia="Aptos" w:hAnsi="Aptos" w:cs="Aptos"/>
          <w:sz w:val="22"/>
          <w:szCs w:val="22"/>
          <w14:ligatures w14:val="none"/>
        </w:rPr>
        <w:t>their rotations have</w:t>
      </w:r>
      <w:r w:rsidR="0047727B">
        <w:rPr>
          <w:rFonts w:ascii="Aptos" w:eastAsia="Aptos" w:hAnsi="Aptos" w:cs="Aptos"/>
          <w:sz w:val="22"/>
          <w:szCs w:val="22"/>
          <w14:ligatures w14:val="none"/>
        </w:rPr>
        <w:t xml:space="preserve"> also</w:t>
      </w:r>
      <w:r w:rsidRPr="00FC1A7A">
        <w:rPr>
          <w:rFonts w:ascii="Aptos" w:eastAsia="Aptos" w:hAnsi="Aptos" w:cs="Aptos"/>
          <w:sz w:val="22"/>
          <w:szCs w:val="22"/>
          <w14:ligatures w14:val="none"/>
        </w:rPr>
        <w:t xml:space="preserve"> been accredited by the Specialist Training College for recognition.</w:t>
      </w:r>
    </w:p>
    <w:p w14:paraId="77DF3BC9" w14:textId="77777777" w:rsidR="007A39AD" w:rsidRDefault="007A39AD"/>
    <w:sectPr w:rsidR="007A39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C46B7"/>
    <w:multiLevelType w:val="hybridMultilevel"/>
    <w:tmpl w:val="FFFFFFFF"/>
    <w:lvl w:ilvl="0" w:tplc="C338CD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FCE3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A4E4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8ECF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9ED5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E8CE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E273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72F5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AC6B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E67ECB"/>
    <w:multiLevelType w:val="hybridMultilevel"/>
    <w:tmpl w:val="FFFFFFFF"/>
    <w:lvl w:ilvl="0" w:tplc="B420B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72AE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32ED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167E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DC71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5E48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5A56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6AA8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54EC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925330">
    <w:abstractNumId w:val="0"/>
  </w:num>
  <w:num w:numId="2" w16cid:durableId="2133672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9AD"/>
    <w:rsid w:val="000B6B5A"/>
    <w:rsid w:val="000C0E3E"/>
    <w:rsid w:val="000C6120"/>
    <w:rsid w:val="0042140E"/>
    <w:rsid w:val="004333D0"/>
    <w:rsid w:val="0047727B"/>
    <w:rsid w:val="004C2B1D"/>
    <w:rsid w:val="007A39AD"/>
    <w:rsid w:val="00FC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804E7"/>
  <w15:chartTrackingRefBased/>
  <w15:docId w15:val="{94CBE67E-54DE-4A1B-936E-689E641D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39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9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9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9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9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9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9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9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9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9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9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9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9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9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9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9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9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3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9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3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39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9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39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9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9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9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C1A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1A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mc.org.au/wp-content/uploads/2022/12/Section-3-Requirements-for-prevocational-PGY1-and-PGY2-training-programs-and-term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Halkitis</dc:creator>
  <cp:keywords/>
  <dc:description/>
  <cp:lastModifiedBy>Maria Halkitis</cp:lastModifiedBy>
  <cp:revision>2</cp:revision>
  <cp:lastPrinted>2025-09-25T23:58:00Z</cp:lastPrinted>
  <dcterms:created xsi:type="dcterms:W3CDTF">2025-09-25T23:32:00Z</dcterms:created>
  <dcterms:modified xsi:type="dcterms:W3CDTF">2025-09-26T00:31:00Z</dcterms:modified>
</cp:coreProperties>
</file>